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692785</wp:posOffset>
            </wp:positionV>
            <wp:extent cx="5200015" cy="8087995"/>
            <wp:effectExtent l="0" t="0" r="12065" b="4445"/>
            <wp:wrapNone/>
            <wp:docPr id="1" name="图片 1" descr="理工大专利封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理工大专利封面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专利</w:t>
      </w: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  <w:t>成果转移转化</w:t>
      </w: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智能推荐报告</w:t>
      </w:r>
    </w:p>
    <w:p>
      <w:pPr>
        <w:spacing w:line="720" w:lineRule="auto"/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</w:pP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专利号：{gkh}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报告日期：{today}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专利标题：{title}</w:t>
      </w:r>
    </w:p>
    <w:p>
      <w:pP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2694305</wp:posOffset>
            </wp:positionV>
            <wp:extent cx="2417445" cy="622300"/>
            <wp:effectExtent l="0" t="0" r="1905" b="6350"/>
            <wp:wrapNone/>
            <wp:docPr id="3" name="图片 3" descr="理工大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理工大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pStyle w:val="3"/>
        <w:numPr>
          <w:ilvl w:val="0"/>
          <w:numId w:val="1"/>
        </w:numPr>
        <w:rPr>
          <w:rFonts w:ascii="华文细黑" w:hAnsi="华文细黑" w:eastAsia="华文细黑" w:cs="华文细黑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jc w:val="center"/>
        <w:rPr>
          <w:rFonts w:hint="default" w:ascii="微软雅黑" w:hAnsi="微软雅黑" w:eastAsia="微软雅黑" w:cs="微软雅黑"/>
          <w:lang w:val="en-US" w:eastAsia="zh-CN"/>
        </w:rPr>
      </w:pPr>
      <w:bookmarkStart w:id="0" w:name="_Toc1011704278"/>
      <w:r>
        <w:rPr>
          <w:rFonts w:hint="eastAsia" w:ascii="微软雅黑" w:hAnsi="微软雅黑" w:eastAsia="微软雅黑" w:cs="微软雅黑"/>
        </w:rPr>
        <w:t>专利</w:t>
      </w:r>
      <w:bookmarkEnd w:id="0"/>
      <w:r>
        <w:rPr>
          <w:rFonts w:hint="eastAsia" w:ascii="微软雅黑" w:hAnsi="微软雅黑" w:eastAsia="微软雅黑" w:cs="微软雅黑"/>
          <w:lang w:val="en-US" w:eastAsia="zh-CN"/>
        </w:rPr>
        <w:t>成果转移转化只能推荐报告</w:t>
      </w:r>
      <w:bookmarkStart w:id="9" w:name="_GoBack"/>
      <w:bookmarkEnd w:id="9"/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{gkh}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{title}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/>
        </w:rPr>
      </w:pPr>
      <w:bookmarkStart w:id="1" w:name="_Toc2085767047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专利摘要</w:t>
      </w:r>
      <w:bookmarkEnd w:id="1"/>
    </w:p>
    <w:p>
      <w:pPr>
        <w:rPr>
          <w:rFonts w:hint="default" w:ascii="微软雅黑" w:hAnsi="微软雅黑" w:eastAsia="微软雅黑" w:cs="微软雅黑"/>
          <w:color w:val="231F20"/>
          <w:lang w:val="en-US" w:eastAsia="zh-CN"/>
        </w:rPr>
      </w:pPr>
      <w:r>
        <w:rPr>
          <w:rFonts w:hint="eastAsia" w:ascii="微软雅黑" w:hAnsi="微软雅黑" w:eastAsia="微软雅黑" w:cs="微软雅黑"/>
          <w:color w:val="231F20"/>
          <w:lang w:val="en-US" w:eastAsia="zh-CN"/>
        </w:rPr>
        <w:t>{zy}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2" w:name="_Toc211118894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技术领域</w:t>
      </w:r>
      <w:bookmarkEnd w:id="2"/>
    </w:p>
    <w:p>
      <w:pPr>
        <w:jc w:val="center"/>
      </w:pPr>
      <w:r>
        <w:drawing>
          <wp:inline distT="0" distB="0" distL="114300" distR="114300">
            <wp:extent cx="3724275" cy="13620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3" w:name="_Toc2027833302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主著录项</w:t>
      </w:r>
      <w:bookmarkEnd w:id="3"/>
    </w:p>
    <w:p>
      <w:pPr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{yxqh}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{zlyxqr}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失效日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{sxr}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{zl_type}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专利维持期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{zlwqq}</w:t>
            </w:r>
          </w:p>
        </w:tc>
      </w:tr>
    </w:tbl>
    <w:p>
      <w:pPr>
        <w:jc w:val="left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4" w:name="_Toc1228828824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相关人</w:t>
      </w:r>
      <w:bookmarkEnd w:id="4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申请人(原始)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{sqrys}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专利权人(当前)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申请人(工商)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专利权人(机构树)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{sqrjgs}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代理人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{fmr}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代理机构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{dljg}</w:t>
            </w:r>
          </w:p>
        </w:tc>
      </w:tr>
    </w:tbl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5" w:name="_Toc57581176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地址</w:t>
      </w:r>
      <w:bookmarkEnd w:id="5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申请人国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公开国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{sqr_address}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{zlqr_address}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6" w:name="_Toc1107088201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统计信息</w:t>
      </w:r>
      <w:bookmarkEnd w:id="6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引用数量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{yy_num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权利要求数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{qlyq_num}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被引用数量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{byy_num}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同族数量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{tzzl_num}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7" w:name="_Toc103307659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分类号</w:t>
      </w:r>
      <w:bookmarkEnd w:id="7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IPC分类号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{ipcflh}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战略新兴产业分类号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{zlxxxcy}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国民经济分类号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{gmjjfl}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双十产业集群分类号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{sscyjqfl}</w:t>
            </w:r>
          </w:p>
        </w:tc>
      </w:tr>
    </w:tbl>
    <w:p>
      <w:pPr>
        <w:jc w:val="center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8" w:name="_Toc51311339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智能推荐</w:t>
      </w:r>
      <w:bookmarkEnd w:id="8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353"/>
        <w:gridCol w:w="1995"/>
        <w:gridCol w:w="1909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企业名称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企业资质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企业经营范围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企业专利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科创能力评价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1.一种基于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  <w:r>
              <w:rPr>
                <w:rFonts w:hint="eastAsia"/>
                <w:vertAlign w:val="baseline"/>
                <w:lang w:eastAsia="zh-Hans"/>
              </w:rPr>
              <w:t>；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2.一种基于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  <w:r>
              <w:rPr>
                <w:rFonts w:hint="eastAsia"/>
                <w:vertAlign w:val="baseline"/>
                <w:lang w:eastAsia="zh-Hans"/>
              </w:rPr>
              <w:t>。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：40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山西科达自控股份有限公司</w:t>
            </w: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高新技术企业</w:t>
            </w: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...服务;智能仓储装…工…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直径单桩单钩硬件</w:t>
            </w:r>
            <w:r>
              <w:rPr>
                <w:rFonts w:hint="default"/>
                <w:vertAlign w:val="baseline"/>
                <w:lang w:eastAsia="zh-Hans"/>
              </w:rPr>
              <w:t>销售;机械设备研...</w:t>
            </w: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一种基于</w:t>
            </w:r>
            <w:r>
              <w:rPr>
                <w:rFonts w:hint="default"/>
                <w:color w:val="FF0000"/>
                <w:vertAlign w:val="baseline"/>
                <w:lang w:eastAsia="zh-Hans"/>
              </w:rPr>
              <w:t>单钩硬件</w:t>
            </w:r>
            <w:r>
              <w:rPr>
                <w:rFonts w:hint="eastAsia"/>
                <w:color w:val="FF0000"/>
                <w:vertAlign w:val="baseline"/>
                <w:lang w:val="en-US" w:eastAsia="zh-Hans"/>
              </w:rPr>
              <w:t>的</w:t>
            </w:r>
            <w:r>
              <w:rPr>
                <w:rFonts w:hint="default"/>
                <w:vertAlign w:val="baseline"/>
                <w:lang w:eastAsia="zh-Hans"/>
              </w:rPr>
              <w:t>融合方法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：20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：10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：60</w:t>
            </w:r>
          </w:p>
        </w:tc>
      </w:tr>
    </w:tbl>
    <w:p>
      <w:pPr>
        <w:jc w:val="both"/>
        <w:rPr>
          <w:rFonts w:hint="default"/>
          <w:lang w:eastAsia="zh-Hans"/>
        </w:rPr>
      </w:pPr>
    </w:p>
    <w:p>
      <w:pPr>
        <w:jc w:val="both"/>
        <w:rPr>
          <w:rFonts w:hint="default"/>
          <w:lang w:eastAsia="zh-Han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9FECAA"/>
    <w:multiLevelType w:val="singleLevel"/>
    <w:tmpl w:val="D49FEC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340D7B"/>
    <w:multiLevelType w:val="singleLevel"/>
    <w:tmpl w:val="3C340D7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2NjhhYTE4YjdkNzgzN2M0ZWEyNjY1YmE1NzAxMjMifQ=="/>
  </w:docVars>
  <w:rsids>
    <w:rsidRoot w:val="20735349"/>
    <w:rsid w:val="03F47174"/>
    <w:rsid w:val="06287461"/>
    <w:rsid w:val="06345E06"/>
    <w:rsid w:val="08AE1E9F"/>
    <w:rsid w:val="18CE7E6F"/>
    <w:rsid w:val="1D1854B9"/>
    <w:rsid w:val="20735349"/>
    <w:rsid w:val="2288435D"/>
    <w:rsid w:val="2C1E6431"/>
    <w:rsid w:val="34775CC4"/>
    <w:rsid w:val="38710880"/>
    <w:rsid w:val="3E476CF0"/>
    <w:rsid w:val="42D469BE"/>
    <w:rsid w:val="450A2111"/>
    <w:rsid w:val="45886FF9"/>
    <w:rsid w:val="558008C3"/>
    <w:rsid w:val="5A0740B4"/>
    <w:rsid w:val="5BEC01B3"/>
    <w:rsid w:val="5EF62DCD"/>
    <w:rsid w:val="604469AB"/>
    <w:rsid w:val="65FC52D8"/>
    <w:rsid w:val="680622D3"/>
    <w:rsid w:val="692C08E9"/>
    <w:rsid w:val="6DBB040E"/>
    <w:rsid w:val="6E5B6873"/>
    <w:rsid w:val="74375DAB"/>
    <w:rsid w:val="799A02D2"/>
    <w:rsid w:val="7AD35001"/>
    <w:rsid w:val="7C6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BodyText"/>
    <w:basedOn w:val="1"/>
    <w:next w:val="1"/>
    <w:qFormat/>
    <w:uiPriority w:val="0"/>
    <w:pPr>
      <w:spacing w:after="120"/>
      <w:ind w:firstLine="420" w:firstLineChars="200"/>
      <w:textAlignment w:val="baseline"/>
    </w:p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63</Characters>
  <Lines>0</Lines>
  <Paragraphs>0</Paragraphs>
  <TotalTime>0</TotalTime>
  <ScaleCrop>false</ScaleCrop>
  <LinksUpToDate>false</LinksUpToDate>
  <CharactersWithSpaces>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2023-07-12T14:56:00Z</dcterms:created>
  <dc:creator>霍然～</dc:creator>
  <cp:lastModifiedBy>韩笑</cp:lastModifiedBy>
  <dcterms:modified xsi:type="dcterms:W3CDTF">2023-07-27T08:22:04Z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AA914770F632408F9043D8B4C090606F_13</vt:lpwstr>
  </property>
</Properties>
</file>