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科创能力报告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c>
          <w:tcPr>
            <w:tcW w:w="1061"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990" w:type="dxa"/>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104"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650" w:type="dxa"/>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eastAsia" w:ascii="微软雅黑" w:hAnsi="微软雅黑" w:eastAsia="微软雅黑" w:cs="微软雅黑"/>
          <w:color w:val="231F20"/>
          <w:lang w:val="en-US" w:eastAsia="zh-Han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54"/>
        <w:gridCol w:w="858"/>
        <w:gridCol w:w="1910"/>
        <w:gridCol w:w="986"/>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{create_time}{/share_holders}</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9439"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715"/>
        <w:gridCol w:w="1159"/>
        <w:gridCol w:w="1061"/>
        <w:gridCol w:w="3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45" w:hRule="atLeast"/>
          <w:tblCellSpacing w:w="15" w:type="dxa"/>
        </w:trPr>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23"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default" w:ascii="宋体" w:hAnsi="宋体" w:eastAsia="宋体" w:cs="宋体"/>
          <w:color w:val="2E75B6" w:themeColor="accent1" w:themeShade="BF"/>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color w:val="2E75B6" w:themeColor="accent1" w:themeShade="BF"/>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color w:val="2E75B6" w:themeColor="accent1" w:themeShade="BF"/>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color w:val="2E75B6" w:themeColor="accent1" w:themeShade="BF"/>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color w:val="2E75B6" w:themeColor="accent1" w:themeShade="BF"/>
          <w:sz w:val="28"/>
          <w:szCs w:val="28"/>
          <w:lang w:val="en-US" w:eastAsia="zh-CN"/>
        </w:rPr>
        <w:t>{patent_authorization_rate}</w:t>
      </w:r>
      <w:r>
        <w:rPr>
          <w:rFonts w:hint="default" w:ascii="宋体" w:hAnsi="宋体" w:eastAsia="宋体" w:cs="宋体"/>
          <w:color w:val="2E75B6" w:themeColor="accent1" w:themeShade="BF"/>
          <w:sz w:val="28"/>
          <w:szCs w:val="28"/>
          <w:lang w:eastAsia="zh-Hans"/>
        </w:rPr>
        <w:t>。</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val="en-US" w:eastAsia="zh-Hans"/>
        </w:rPr>
        <w:t>件，其中发明专利</w:t>
      </w:r>
      <w:r>
        <w:rPr>
          <w:rFonts w:hint="eastAsia" w:ascii="宋体" w:hAnsi="宋体" w:eastAsia="宋体" w:cs="宋体"/>
          <w:color w:val="2E75B6" w:themeColor="accent1" w:themeShade="BF"/>
          <w:sz w:val="28"/>
          <w:szCs w:val="28"/>
          <w:lang w:val="en-US" w:eastAsia="zh-CN"/>
        </w:rPr>
        <w:t>{invent_patent_num}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color w:val="2E75B6" w:themeColor="accent1" w:themeShade="BF"/>
          <w:sz w:val="28"/>
          <w:szCs w:val="28"/>
          <w:lang w:val="en-US" w:eastAsia="zh-Hans"/>
        </w:rPr>
        <w:t>invent_patent_percent</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；失效专利</w:t>
      </w:r>
      <w:r>
        <w:rPr>
          <w:rFonts w:hint="eastAsia" w:ascii="宋体" w:hAnsi="宋体" w:eastAsia="宋体" w:cs="宋体"/>
          <w:color w:val="2E75B6" w:themeColor="accent1" w:themeShade="BF"/>
          <w:sz w:val="28"/>
          <w:szCs w:val="28"/>
          <w:lang w:val="en-US" w:eastAsia="zh-CN"/>
        </w:rPr>
        <w:t>{valid_patent_num}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{valid_patent_percent}</w:t>
      </w:r>
      <w:r>
        <w:rPr>
          <w:rFonts w:hint="default" w:ascii="宋体" w:hAnsi="宋体" w:eastAsia="宋体" w:cs="宋体"/>
          <w:sz w:val="28"/>
          <w:szCs w:val="28"/>
          <w:lang w:val="en-US" w:eastAsia="zh-Hans"/>
        </w:rPr>
        <w:t>。</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sz w:val="28"/>
          <w:szCs w:val="28"/>
          <w:lang w:val="en-US" w:eastAsia="zh-Hans"/>
        </w:rPr>
        <w:t>xxxxxx</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该企业与其他公司、高校、研究所等机构共进行了</w:t>
      </w:r>
      <w:r>
        <w:rPr>
          <w:rFonts w:hint="eastAsia" w:ascii="宋体" w:hAnsi="宋体" w:eastAsia="宋体" w:cs="宋体"/>
          <w:color w:val="2E75B6" w:themeColor="accent1" w:themeShade="BF"/>
          <w:sz w:val="28"/>
          <w:szCs w:val="28"/>
          <w:lang w:val="en-US" w:eastAsia="zh-CN"/>
        </w:rPr>
        <w:t>{all_nums}</w:t>
      </w:r>
      <w:r>
        <w:rPr>
          <w:rFonts w:hint="default" w:ascii="宋体" w:hAnsi="宋体" w:eastAsia="宋体" w:cs="宋体"/>
          <w:sz w:val="28"/>
          <w:szCs w:val="28"/>
          <w:lang w:val="en-US" w:eastAsia="zh-Hans"/>
        </w:rPr>
        <w:t>次产学研合作。其中，与</w:t>
      </w:r>
      <w:r>
        <w:rPr>
          <w:rFonts w:hint="eastAsia" w:ascii="宋体" w:hAnsi="宋体" w:eastAsia="宋体" w:cs="宋体"/>
          <w:color w:val="2E75B6" w:themeColor="accent1" w:themeShade="BF"/>
          <w:sz w:val="28"/>
          <w:szCs w:val="28"/>
          <w:lang w:val="en-US" w:eastAsia="zh-CN"/>
        </w:rPr>
        <w:t>{max_name_apply}</w:t>
      </w:r>
      <w:r>
        <w:rPr>
          <w:rFonts w:hint="default" w:ascii="宋体" w:hAnsi="宋体" w:eastAsia="宋体" w:cs="宋体"/>
          <w:sz w:val="28"/>
          <w:szCs w:val="28"/>
          <w:lang w:val="en-US" w:eastAsia="zh-Hans"/>
        </w:rPr>
        <w:t>最为密切，合作次数为</w:t>
      </w:r>
      <w:r>
        <w:rPr>
          <w:rFonts w:hint="eastAsia" w:ascii="宋体" w:hAnsi="宋体" w:eastAsia="宋体" w:cs="宋体"/>
          <w:color w:val="2E75B6" w:themeColor="accent1" w:themeShade="BF"/>
          <w:sz w:val="28"/>
          <w:szCs w:val="28"/>
          <w:lang w:val="en-US" w:eastAsia="zh-CN"/>
        </w:rPr>
        <w:t>{max_value_apply</w:t>
      </w:r>
      <w:bookmarkStart w:id="4" w:name="_GoBack"/>
      <w:bookmarkEnd w:id="4"/>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次，与该企业合作次数最多的申请人如下图所示。</w:t>
      </w:r>
    </w:p>
    <w:p>
      <w:pPr>
        <w:jc w:val="cente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{%image7}</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eastAsia" w:ascii="宋体" w:hAnsi="宋体" w:eastAsia="宋体" w:cs="宋体"/>
          <w:color w:val="2E75B6" w:themeColor="accent1" w:themeShade="BF"/>
          <w:sz w:val="28"/>
          <w:szCs w:val="28"/>
          <w:lang w:val="en-US" w:eastAsia="zh-CN"/>
        </w:rPr>
        <w:t>{max_name_purchase}</w:t>
      </w:r>
      <w:r>
        <w:rPr>
          <w:rFonts w:hint="eastAsia" w:ascii="宋体" w:hAnsi="宋体" w:eastAsia="宋体" w:cs="宋体"/>
          <w:sz w:val="28"/>
          <w:szCs w:val="28"/>
          <w:lang w:val="en-US" w:eastAsia="zh-Hans"/>
        </w:rPr>
        <w:t>购买专利最多，为</w:t>
      </w:r>
      <w:r>
        <w:rPr>
          <w:rFonts w:hint="eastAsia" w:ascii="宋体" w:hAnsi="宋体" w:eastAsia="宋体" w:cs="宋体"/>
          <w:color w:val="2E75B6" w:themeColor="accent1" w:themeShade="BF"/>
          <w:sz w:val="28"/>
          <w:szCs w:val="28"/>
          <w:lang w:val="en-US" w:eastAsia="zh-CN"/>
        </w:rPr>
        <w:t>{max_value_purchase}</w:t>
      </w:r>
      <w:r>
        <w:rPr>
          <w:rFonts w:hint="eastAsia" w:ascii="宋体" w:hAnsi="宋体" w:eastAsia="宋体" w:cs="宋体"/>
          <w:sz w:val="28"/>
          <w:szCs w:val="28"/>
          <w:lang w:val="en-US" w:eastAsia="zh-Hans"/>
        </w:rPr>
        <w:t>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1FE0E46"/>
    <w:rsid w:val="03C21E18"/>
    <w:rsid w:val="05432019"/>
    <w:rsid w:val="05785C8A"/>
    <w:rsid w:val="05B64EE1"/>
    <w:rsid w:val="06287461"/>
    <w:rsid w:val="06345E06"/>
    <w:rsid w:val="065402FA"/>
    <w:rsid w:val="08007A98"/>
    <w:rsid w:val="08AE1E9F"/>
    <w:rsid w:val="094F5BEF"/>
    <w:rsid w:val="0AFC505D"/>
    <w:rsid w:val="0E0E7F9F"/>
    <w:rsid w:val="0F9D20EB"/>
    <w:rsid w:val="11685F57"/>
    <w:rsid w:val="15D1609C"/>
    <w:rsid w:val="1735378C"/>
    <w:rsid w:val="198F7978"/>
    <w:rsid w:val="1A7D7923"/>
    <w:rsid w:val="1CDB67A6"/>
    <w:rsid w:val="20735349"/>
    <w:rsid w:val="20F7154B"/>
    <w:rsid w:val="21682094"/>
    <w:rsid w:val="21687E22"/>
    <w:rsid w:val="21F330CD"/>
    <w:rsid w:val="22633B74"/>
    <w:rsid w:val="23561A89"/>
    <w:rsid w:val="25523147"/>
    <w:rsid w:val="259F1612"/>
    <w:rsid w:val="299A2385"/>
    <w:rsid w:val="2AB8524D"/>
    <w:rsid w:val="2D1F42E8"/>
    <w:rsid w:val="309335A5"/>
    <w:rsid w:val="3153748F"/>
    <w:rsid w:val="32E8789B"/>
    <w:rsid w:val="33924C86"/>
    <w:rsid w:val="36D7294B"/>
    <w:rsid w:val="374E46CA"/>
    <w:rsid w:val="376712E7"/>
    <w:rsid w:val="3A8E63AC"/>
    <w:rsid w:val="3BA53EEC"/>
    <w:rsid w:val="3BB24A95"/>
    <w:rsid w:val="3E476CF0"/>
    <w:rsid w:val="3F6008E1"/>
    <w:rsid w:val="3FBC7BEE"/>
    <w:rsid w:val="3FF81122"/>
    <w:rsid w:val="45886FF9"/>
    <w:rsid w:val="46A20FAA"/>
    <w:rsid w:val="476E50DC"/>
    <w:rsid w:val="49125EA8"/>
    <w:rsid w:val="49737C66"/>
    <w:rsid w:val="4AEB04E6"/>
    <w:rsid w:val="4BF7106C"/>
    <w:rsid w:val="4CB842ED"/>
    <w:rsid w:val="4D1B73A9"/>
    <w:rsid w:val="4EBB3292"/>
    <w:rsid w:val="50691B42"/>
    <w:rsid w:val="513575B0"/>
    <w:rsid w:val="51FD1443"/>
    <w:rsid w:val="53402E0D"/>
    <w:rsid w:val="544D78BD"/>
    <w:rsid w:val="558008C3"/>
    <w:rsid w:val="55CF10A1"/>
    <w:rsid w:val="57844DD7"/>
    <w:rsid w:val="58E512E6"/>
    <w:rsid w:val="5ABE26ED"/>
    <w:rsid w:val="5DFE21BA"/>
    <w:rsid w:val="5EF62DCD"/>
    <w:rsid w:val="62036E4B"/>
    <w:rsid w:val="632F47BC"/>
    <w:rsid w:val="66D0648E"/>
    <w:rsid w:val="66FF0686"/>
    <w:rsid w:val="67F31E93"/>
    <w:rsid w:val="680622D3"/>
    <w:rsid w:val="6B237682"/>
    <w:rsid w:val="6C342C61"/>
    <w:rsid w:val="6EE612A3"/>
    <w:rsid w:val="707B6CEA"/>
    <w:rsid w:val="70A94337"/>
    <w:rsid w:val="728D1539"/>
    <w:rsid w:val="72F478CA"/>
    <w:rsid w:val="752C5B8B"/>
    <w:rsid w:val="7984417B"/>
    <w:rsid w:val="7AB94F83"/>
    <w:rsid w:val="7BC63589"/>
    <w:rsid w:val="7C6F7FEF"/>
    <w:rsid w:val="7FF0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3</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2023-07-27T10:10:21Z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